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000" w:rsidRDefault="009F5000" w:rsidP="009F5000">
      <w:pPr>
        <w:widowControl w:val="0"/>
        <w:tabs>
          <w:tab w:val="left" w:pos="1110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20200"/>
      <w:bookmarkStart w:id="1" w:name="_GoBack"/>
      <w:bookmarkEnd w:id="1"/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      </w:t>
      </w:r>
      <w:r w:rsidR="00DA65C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</w:t>
      </w:r>
      <w:r w:rsidRPr="00A603F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DA65C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</w:t>
      </w:r>
    </w:p>
    <w:p w:rsidR="009F5000" w:rsidRPr="00A603FD" w:rsidRDefault="009F5000" w:rsidP="009F5000">
      <w:pPr>
        <w:widowControl w:val="0"/>
        <w:tabs>
          <w:tab w:val="left" w:pos="11100"/>
        </w:tabs>
        <w:autoSpaceDE w:val="0"/>
        <w:autoSpaceDN w:val="0"/>
        <w:adjustRightInd w:val="0"/>
        <w:spacing w:after="0" w:line="240" w:lineRule="auto"/>
        <w:ind w:left="16284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 постановлению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Администрации города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от _________№________</w:t>
      </w:r>
    </w:p>
    <w:p w:rsidR="00CC634A" w:rsidRDefault="009F5000" w:rsidP="00DA65CD">
      <w:pPr>
        <w:widowControl w:val="0"/>
        <w:tabs>
          <w:tab w:val="left" w:pos="709"/>
          <w:tab w:val="left" w:pos="851"/>
          <w:tab w:val="left" w:pos="1110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        </w:t>
      </w:r>
      <w:r w:rsidR="00790ADD" w:rsidRPr="00CC634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2.</w:t>
      </w:r>
      <w:r w:rsidR="00790ADD" w:rsidRPr="00A8167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Показатели муниципальной программы</w:t>
      </w:r>
      <w:bookmarkEnd w:id="0"/>
      <w:r w:rsidR="0030328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tbl>
      <w:tblPr>
        <w:tblW w:w="49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400"/>
        <w:gridCol w:w="868"/>
        <w:gridCol w:w="1178"/>
        <w:gridCol w:w="692"/>
        <w:gridCol w:w="619"/>
        <w:gridCol w:w="610"/>
        <w:gridCol w:w="662"/>
        <w:gridCol w:w="666"/>
        <w:gridCol w:w="666"/>
        <w:gridCol w:w="658"/>
        <w:gridCol w:w="692"/>
        <w:gridCol w:w="675"/>
        <w:gridCol w:w="666"/>
        <w:gridCol w:w="675"/>
        <w:gridCol w:w="666"/>
        <w:gridCol w:w="636"/>
        <w:gridCol w:w="679"/>
        <w:gridCol w:w="4191"/>
        <w:gridCol w:w="1079"/>
        <w:gridCol w:w="804"/>
      </w:tblGrid>
      <w:tr w:rsidR="009F5000" w:rsidRPr="004F6233" w:rsidTr="009F5000">
        <w:trPr>
          <w:trHeight w:val="1262"/>
          <w:jc w:val="center"/>
        </w:trPr>
        <w:tc>
          <w:tcPr>
            <w:tcW w:w="1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Уровень пока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еля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измерения 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(по </w:t>
            </w:r>
            <w:hyperlink r:id="rId8" w:history="1">
              <w:r w:rsidRPr="004F6233">
                <w:rPr>
                  <w:rFonts w:ascii="Times New Roman" w:eastAsiaTheme="minorEastAsia" w:hAnsi="Times New Roman" w:cs="Times New Roman"/>
                  <w:sz w:val="18"/>
                  <w:szCs w:val="18"/>
                  <w:lang w:eastAsia="ru-RU"/>
                </w:rPr>
                <w:t>ОКЕИ</w:t>
              </w:r>
            </w:hyperlink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Базовое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значение</w:t>
            </w:r>
          </w:p>
        </w:tc>
        <w:tc>
          <w:tcPr>
            <w:tcW w:w="185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Значение показателя по годам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Документ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Ответст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венный за дости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жение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показателя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Связь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с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ока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за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те-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лями нацио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-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ных целей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</w:p>
        </w:tc>
      </w:tr>
      <w:tr w:rsidR="009F5000" w:rsidRPr="004F6233" w:rsidTr="009F5000">
        <w:trPr>
          <w:trHeight w:val="144"/>
          <w:jc w:val="center"/>
        </w:trPr>
        <w:tc>
          <w:tcPr>
            <w:tcW w:w="1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наче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ние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1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1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9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49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21</w:t>
            </w:r>
          </w:p>
        </w:tc>
      </w:tr>
      <w:tr w:rsidR="009F5000" w:rsidRPr="004F6233" w:rsidTr="009F5000">
        <w:trPr>
          <w:trHeight w:val="319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F5000" w:rsidRPr="002244BB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24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Цель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24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«Обеспечение надежности предоставления коммунальных услуг в соответствии с нормативными требованиями»</w:t>
            </w:r>
          </w:p>
        </w:tc>
      </w:tr>
      <w:tr w:rsidR="009F5000" w:rsidRPr="004F6233" w:rsidTr="009F5000">
        <w:trPr>
          <w:trHeight w:val="3013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85D5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3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885D56">
              <w:rPr>
                <w:rFonts w:ascii="Times New Roman" w:eastAsia="Times New Roman" w:hAnsi="Times New Roman"/>
                <w:sz w:val="18"/>
                <w:lang w:eastAsia="ru-RU"/>
              </w:rPr>
              <w:t xml:space="preserve">Доля возмещения недополученных </w:t>
            </w:r>
          </w:p>
          <w:p w:rsidR="009F5000" w:rsidRPr="00DC71B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885D56">
              <w:rPr>
                <w:rFonts w:ascii="Times New Roman" w:eastAsia="Times New Roman" w:hAnsi="Times New Roman"/>
                <w:sz w:val="18"/>
                <w:lang w:eastAsia="ru-RU"/>
              </w:rPr>
              <w:t>доходов газоснабжающей организации</w:t>
            </w:r>
            <w:r>
              <w:rPr>
                <w:rFonts w:ascii="Times New Roman" w:eastAsia="Times New Roman" w:hAnsi="Times New Roman"/>
                <w:sz w:val="18"/>
                <w:vertAlign w:val="superscript"/>
                <w:lang w:eastAsia="ru-RU"/>
              </w:rPr>
              <w:t>6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C48E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акон Ханты-Мансийского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автономного округа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 Югры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>2013 № 118-оз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О возмещении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недополученных доходов организациям, осуществляющим реализацию населению Ханты-Мансийского автономного округа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Югры сжижен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>ного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газа по розничным ценам, и наделении органов местного самоуправления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образований Ханты-Мансийского автономного округа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 Югры отдельным государственным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полномочием по предоставлению субсидий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на возмещение недополученных доходов организациям, осуществляющим реализацию населению Ханты-Мансийского автономного округа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628A9">
              <w:rPr>
                <w:rFonts w:ascii="Times New Roman" w:hAnsi="Times New Roman" w:cs="Times New Roman"/>
                <w:sz w:val="18"/>
                <w:szCs w:val="18"/>
              </w:rPr>
              <w:t xml:space="preserve"> Югры сжи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женного газа по розничным ценам»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71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значимого роста энергетической и ресурсной эффективности в жилищно-коммунальном хозяйстве, </w:t>
            </w:r>
          </w:p>
          <w:p w:rsidR="009F5000" w:rsidRPr="00A271C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271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промышленном и инфраструктурном строительстве</w:t>
            </w:r>
          </w:p>
        </w:tc>
      </w:tr>
      <w:tr w:rsidR="009F5000" w:rsidRPr="004F6233" w:rsidTr="009F5000">
        <w:trPr>
          <w:trHeight w:val="1116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E3B0F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городского населения, обеспеченного качественной питьевой водой из систем центра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лизованного водоснабжения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1AB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СЭР</w:t>
            </w:r>
            <w:r w:rsidRP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E03241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ГП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3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8C1AB5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МП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D17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2E24A5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03241" w:rsidRDefault="009F5000" w:rsidP="009F5000">
            <w:pPr>
              <w:pStyle w:val="aa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E03241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 – Югры от 10.11.2023 </w:t>
            </w:r>
            <w:r w:rsidRPr="00E03241">
              <w:rPr>
                <w:rFonts w:ascii="Times New Roman" w:hAnsi="Times New Roman"/>
                <w:sz w:val="18"/>
                <w:szCs w:val="28"/>
              </w:rPr>
              <w:br/>
              <w:t>№ 561-п «О государственной программе Ханты-Мансийского округа – Югры «Строительство»,</w:t>
            </w:r>
          </w:p>
          <w:p w:rsidR="009F5000" w:rsidRPr="00E03241" w:rsidRDefault="009F5000" w:rsidP="009F5000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E032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0324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«</w:t>
            </w:r>
            <w:r w:rsidRPr="00E03241">
              <w:rPr>
                <w:rFonts w:ascii="Times New Roman" w:hAnsi="Times New Roman" w:cs="Times New Roman"/>
                <w:sz w:val="18"/>
                <w:szCs w:val="18"/>
              </w:rPr>
              <w:t xml:space="preserve">О Стратегии социально-экономического развития города Сургута до 2036 года с целевыми ориентирами до 2050 года»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777ED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8777ED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877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7909E4">
              <w:rPr>
                <w:rFonts w:ascii="Times New Roman" w:hAnsi="Times New Roman" w:cs="Times New Roman"/>
                <w:sz w:val="18"/>
              </w:rPr>
              <w:t xml:space="preserve">Доля замены ветхих инженерных сетей теплоснабжения, водоснабжения, </w:t>
            </w:r>
            <w:r w:rsidRPr="007909E4">
              <w:rPr>
                <w:rFonts w:ascii="Times New Roman" w:hAnsi="Times New Roman" w:cs="Times New Roman"/>
                <w:sz w:val="18"/>
              </w:rPr>
              <w:br/>
              <w:t>водоотведения от общей протяженности ветхих инженерных сетей теплоснабжения, водоснабжения, водоотведе</w:t>
            </w:r>
            <w:r w:rsidRPr="00DB500C">
              <w:rPr>
                <w:rFonts w:ascii="Times New Roman" w:hAnsi="Times New Roman" w:cs="Times New Roman"/>
                <w:sz w:val="18"/>
              </w:rPr>
              <w:t>ния</w:t>
            </w:r>
            <w:r w:rsidRPr="00DB500C"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7909E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СЭР</w:t>
            </w:r>
            <w:r w:rsidRPr="00716279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7909E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ГП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3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7909E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МП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1</w:t>
            </w:r>
          </w:p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3,42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909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7909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3,83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r w:rsidRPr="00622F1A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округа-Югры от 10.11.2023 </w:t>
            </w:r>
            <w:r w:rsidRPr="00622F1A">
              <w:rPr>
                <w:rFonts w:ascii="Times New Roman" w:hAnsi="Times New Roman"/>
                <w:sz w:val="18"/>
                <w:szCs w:val="28"/>
              </w:rPr>
              <w:br/>
              <w:t>№ 561-п «О государственной программе Ханты-Мансийского округа – Югры «Строительство»,</w:t>
            </w:r>
            <w:r w:rsidRPr="00622F1A">
              <w:rPr>
                <w:rFonts w:ascii="Times New Roman" w:hAnsi="Times New Roman"/>
                <w:sz w:val="18"/>
                <w:szCs w:val="28"/>
              </w:rPr>
              <w:br/>
            </w: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«</w:t>
            </w:r>
            <w:r w:rsidRPr="00622F1A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Default="009F5000" w:rsidP="009F5000"/>
        </w:tc>
        <w:tc>
          <w:tcPr>
            <w:tcW w:w="187" w:type="pct"/>
            <w:vMerge/>
            <w:tcBorders>
              <w:left w:val="single" w:sz="4" w:space="0" w:color="auto"/>
            </w:tcBorders>
            <w:textDirection w:val="tbRl"/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770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E3B0F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vertAlign w:val="superscript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Доля населения в многоквартирных жилых домах, охваченных услугой централизованного водоотведе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</w:t>
            </w:r>
            <w:r w:rsidRPr="00DB500C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 w:rsidRP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D17A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1C1CBF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FC34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FC34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777ED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8777ED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  <w:textDirection w:val="tbRl"/>
          </w:tcPr>
          <w:p w:rsidR="009F5000" w:rsidRPr="00E22B8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5000" w:rsidRPr="00A170D6" w:rsidTr="009F5000">
        <w:trPr>
          <w:trHeight w:val="1111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E3B0F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pStyle w:val="a9"/>
              <w:ind w:right="-159"/>
              <w:rPr>
                <w:rFonts w:ascii="Times New Roman" w:hAnsi="Times New Roman" w:cs="Times New Roman"/>
                <w:sz w:val="18"/>
              </w:rPr>
            </w:pPr>
            <w:r w:rsidRPr="008C1AB5">
              <w:rPr>
                <w:rFonts w:ascii="Times New Roman" w:hAnsi="Times New Roman" w:cs="Times New Roman"/>
                <w:sz w:val="18"/>
              </w:rPr>
              <w:t>Доля реконструированных/</w:t>
            </w:r>
            <w:r>
              <w:rPr>
                <w:rFonts w:ascii="Times New Roman" w:hAnsi="Times New Roman" w:cs="Times New Roman"/>
                <w:sz w:val="18"/>
              </w:rPr>
              <w:br/>
            </w:r>
            <w:r w:rsidRPr="008C1AB5">
              <w:rPr>
                <w:rFonts w:ascii="Times New Roman" w:hAnsi="Times New Roman" w:cs="Times New Roman"/>
                <w:sz w:val="18"/>
              </w:rPr>
              <w:t>отремонтированных инженерных</w:t>
            </w:r>
            <w:r>
              <w:rPr>
                <w:rFonts w:ascii="Times New Roman" w:hAnsi="Times New Roman" w:cs="Times New Roman"/>
                <w:sz w:val="18"/>
              </w:rPr>
              <w:br/>
            </w:r>
            <w:r w:rsidRPr="008C1AB5">
              <w:rPr>
                <w:rFonts w:ascii="Times New Roman" w:hAnsi="Times New Roman" w:cs="Times New Roman"/>
                <w:sz w:val="18"/>
              </w:rPr>
              <w:t>объектов от инженерных объектов,</w:t>
            </w:r>
          </w:p>
          <w:p w:rsidR="009F5000" w:rsidRPr="00E86E08" w:rsidRDefault="009F5000" w:rsidP="009F5000">
            <w:pPr>
              <w:pStyle w:val="a9"/>
              <w:ind w:right="-159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8C1AB5">
              <w:rPr>
                <w:rFonts w:ascii="Times New Roman" w:hAnsi="Times New Roman" w:cs="Times New Roman"/>
                <w:sz w:val="18"/>
              </w:rPr>
              <w:t xml:space="preserve">по которым реконструкция/ремонт </w:t>
            </w:r>
            <w:r>
              <w:rPr>
                <w:rFonts w:ascii="Times New Roman" w:hAnsi="Times New Roman" w:cs="Times New Roman"/>
                <w:sz w:val="18"/>
              </w:rPr>
              <w:br/>
            </w:r>
            <w:r w:rsidRPr="008C1AB5">
              <w:rPr>
                <w:rFonts w:ascii="Times New Roman" w:hAnsi="Times New Roman" w:cs="Times New Roman"/>
                <w:sz w:val="18"/>
              </w:rPr>
              <w:t>запланированы в соответствующем году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F36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C1AB5" w:rsidRDefault="009F5000" w:rsidP="009F5000">
            <w:pPr>
              <w:jc w:val="center"/>
            </w:pPr>
            <w:r w:rsidRPr="008C1AB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F368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F3688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округа-Югры от 10.11.2023 </w:t>
            </w:r>
            <w:r w:rsidRPr="005F3688">
              <w:rPr>
                <w:rFonts w:ascii="Times New Roman" w:hAnsi="Times New Roman"/>
                <w:sz w:val="18"/>
                <w:szCs w:val="28"/>
              </w:rPr>
              <w:br/>
              <w:t xml:space="preserve">№ 561-п «О государственной программе Ханты-Мансийского округа </w:t>
            </w:r>
            <w:r>
              <w:rPr>
                <w:rFonts w:ascii="Times New Roman" w:hAnsi="Times New Roman"/>
                <w:sz w:val="18"/>
                <w:szCs w:val="28"/>
              </w:rPr>
              <w:t>–</w:t>
            </w:r>
            <w:r w:rsidRPr="005F3688">
              <w:rPr>
                <w:rFonts w:ascii="Times New Roman" w:hAnsi="Times New Roman"/>
                <w:sz w:val="18"/>
                <w:szCs w:val="28"/>
              </w:rPr>
              <w:t xml:space="preserve"> Югры «Строительство»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Default="009F5000" w:rsidP="009F5000"/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A170D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9F5000" w:rsidRPr="00A170D6" w:rsidTr="009F5000">
        <w:trPr>
          <w:trHeight w:val="837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pStyle w:val="a9"/>
              <w:ind w:right="-159"/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5F3688">
              <w:rPr>
                <w:rFonts w:ascii="Times New Roman" w:hAnsi="Times New Roman" w:cs="Times New Roman"/>
                <w:sz w:val="18"/>
              </w:rPr>
              <w:t>Количество актуализированных схем тепло-, водоснабжения, водоотведения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F5000" w:rsidRPr="008C1AB5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 w:rsidRP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A670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</w:t>
            </w: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диница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A670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A670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A670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FB4E1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FB4E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4326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44326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A170D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9F5000" w:rsidRPr="00A170D6" w:rsidTr="009F5000">
        <w:trPr>
          <w:trHeight w:val="913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pStyle w:val="a9"/>
              <w:ind w:right="-159"/>
              <w:rPr>
                <w:rFonts w:ascii="Times New Roman" w:hAnsi="Times New Roman" w:cs="Times New Roman"/>
                <w:sz w:val="18"/>
                <w:vertAlign w:val="superscript"/>
              </w:rPr>
            </w:pPr>
            <w:r w:rsidRPr="005F3688">
              <w:rPr>
                <w:rFonts w:ascii="Times New Roman" w:hAnsi="Times New Roman" w:cs="Times New Roman"/>
                <w:sz w:val="18"/>
              </w:rPr>
              <w:t>Количество разработанных схем тепло-, водоснабжения, водоотведения</w:t>
            </w:r>
            <w:r>
              <w:rPr>
                <w:rFonts w:ascii="Times New Roman" w:hAnsi="Times New Roman" w:cs="Times New Roman"/>
                <w:sz w:val="18"/>
                <w:vertAlign w:val="superscript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 w:rsidRPr="00716279"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9834BB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A670E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670E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 xml:space="preserve">О Стратегии социально-экономического развития 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lastRenderedPageBreak/>
              <w:t xml:space="preserve">ДГХ </w:t>
            </w:r>
          </w:p>
          <w:p w:rsidR="009F5000" w:rsidRDefault="009F5000" w:rsidP="009F5000"/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A170D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9F5000" w:rsidRPr="00BF5FF6" w:rsidTr="009F5000">
        <w:trPr>
          <w:trHeight w:val="412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pStyle w:val="a9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BF5FF6">
              <w:rPr>
                <w:rFonts w:ascii="Times New Roman" w:hAnsi="Times New Roman" w:cs="Times New Roman"/>
                <w:sz w:val="18"/>
                <w:szCs w:val="18"/>
              </w:rPr>
              <w:t>Уровень удовлетворенности заявителей эффективностью процедуры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F5FF6">
              <w:rPr>
                <w:rFonts w:ascii="Times New Roman" w:hAnsi="Times New Roman" w:cs="Times New Roman"/>
                <w:sz w:val="18"/>
                <w:szCs w:val="18"/>
              </w:rPr>
              <w:t>подключения к газораспределительным сетям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D484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F5FF6" w:rsidRDefault="009F5000" w:rsidP="009F5000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F5FF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E862F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4326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443264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BF5FF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BF5FF6" w:rsidTr="009F5000">
        <w:trPr>
          <w:trHeight w:val="281"/>
          <w:jc w:val="center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9F5000" w:rsidRPr="00A271C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Цель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271C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«Повышение энергетической эффективности в отраслях экономики и развитие использования энергоэффективных технологий потребителями»</w:t>
            </w:r>
          </w:p>
        </w:tc>
      </w:tr>
      <w:tr w:rsidR="009F5000" w:rsidRPr="004F6233" w:rsidTr="009F5000">
        <w:trPr>
          <w:trHeight w:val="1138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85D5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Доля индивидуальных приборов учета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энергетических ресурсов</w:t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, установленных (замененных, поверенных)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 xml:space="preserve">в жилых и нежилых помещениях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E01967">
              <w:rPr>
                <w:rFonts w:ascii="Times New Roman" w:hAnsi="Times New Roman" w:cs="Times New Roman"/>
                <w:sz w:val="18"/>
                <w:szCs w:val="18"/>
              </w:rPr>
              <w:t>муниципальной собственности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3431DE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009 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 261-ФЗ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 xml:space="preserve">Об энергосбережении и о повышении энергетической эффективности и о внесении изменений </w:t>
            </w:r>
          </w:p>
          <w:p w:rsidR="009F5000" w:rsidRPr="005F3688" w:rsidRDefault="009F5000" w:rsidP="009F5000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9F5000" w:rsidRPr="00CC634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C63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значимого роста энергетической и ресурсной эффективности в жилищно-коммунальном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CC63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хозяйстве, промышленном и инфраструктурном строительстве</w:t>
            </w:r>
          </w:p>
        </w:tc>
      </w:tr>
      <w:tr w:rsidR="009F5000" w:rsidRPr="004F6233" w:rsidTr="009F5000">
        <w:trPr>
          <w:trHeight w:val="1361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нормативных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потерь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воды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 централизованных системах водоснабжения при транспортировке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в общем объеме воды, поданной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 водопроводную сеть на террито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6,18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9,48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9,01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8,56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Default="009F5000" w:rsidP="009F5000"/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052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нормативных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потерь </w:t>
            </w:r>
            <w:r w:rsidRPr="00DA414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тепловой </w:t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энергии при ее передаче в общем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объеме переданной тепловой энергии </w:t>
            </w:r>
          </w:p>
          <w:p w:rsidR="009F5000" w:rsidRPr="00E1141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F623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на территории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9834B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CB38B8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475B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</w:pPr>
            <w:r w:rsidRPr="00E475B3">
              <w:rPr>
                <w:rFonts w:ascii="Times New Roman" w:eastAsiaTheme="minorEastAsia" w:hAnsi="Times New Roman" w:cs="Times New Roman"/>
                <w:sz w:val="17"/>
                <w:szCs w:val="17"/>
                <w:lang w:eastAsia="ru-RU"/>
              </w:rPr>
              <w:t>10,58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10,58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10,26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9,75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232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E1141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Доля нормативных потерь электрической энергии при ее передаче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по распределительным сетям в общем объеме переданной электрической энергии на территории муниципального образования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938A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п</w:t>
            </w:r>
            <w:r w:rsidRPr="00B938A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роцент</w:t>
            </w:r>
          </w:p>
          <w:p w:rsidR="009F5000" w:rsidRPr="00B938A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B938AA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938AA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E520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jc w:val="center"/>
            </w:pPr>
            <w:r w:rsidRPr="00463DA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6F72B4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800B2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«</w:t>
            </w:r>
            <w:r w:rsidRPr="00800B23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Default="009F5000" w:rsidP="009F5000"/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653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58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Количество публикаций 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558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периодических печатных изданиях, социальных сетях 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официальном портале</w:t>
            </w:r>
            <w:r w:rsidRPr="00B558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Администрации города, </w:t>
            </w:r>
          </w:p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B558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выпусков в эфире телепередач о мероприятиях и способах энергосбережения и повышения энергетической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B558F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эффективности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СЭР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2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85517F" w:rsidRDefault="009F5000" w:rsidP="009F5000">
            <w:r w:rsidRPr="008551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решение Думы города от 08.06.2015 № 718-V ДГ </w:t>
            </w:r>
            <w:r w:rsidRPr="0085517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  <w:t>«</w:t>
            </w:r>
            <w:r w:rsidRPr="0085517F">
              <w:rPr>
                <w:rFonts w:ascii="Times New Roman" w:hAnsi="Times New Roman" w:cs="Times New Roman"/>
                <w:sz w:val="18"/>
                <w:szCs w:val="18"/>
              </w:rPr>
              <w:t>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018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60196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C60196">
              <w:rPr>
                <w:rFonts w:ascii="Times New Roman" w:hAnsi="Times New Roman" w:cs="Times New Roman"/>
                <w:sz w:val="18"/>
                <w:szCs w:val="18"/>
              </w:rPr>
              <w:t>Количество энергосервисных договоров (контрактов), заключенных муниципальными учреждениями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009 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 261-ФЗ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 xml:space="preserve">Об энергосбережении и о повышении энергетической эффективности и о внесении изменений </w:t>
            </w:r>
          </w:p>
          <w:p w:rsidR="009F5000" w:rsidRDefault="009F5000" w:rsidP="009F5000"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4F6233" w:rsidTr="009F5000">
        <w:trPr>
          <w:trHeight w:val="1064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7</w:t>
            </w:r>
          </w:p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DB50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C601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Удельный расход электрической энергии на снабжение органов местного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br/>
            </w:r>
            <w:r w:rsidRPr="00C60196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самоуправления и муниципальных учреждений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(в расчете на 1 кв. метр общей площади)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716279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52761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МП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  <w:t>1</w:t>
            </w:r>
          </w:p>
          <w:p w:rsidR="009F5000" w:rsidRPr="00527617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DA414B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кВт*ч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CB38B8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42,2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Default="009F5000" w:rsidP="009F5000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Федеральный закон от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.11.2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009 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№ 261-ФЗ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«</w:t>
            </w:r>
            <w:r w:rsidRPr="005F3688">
              <w:rPr>
                <w:rFonts w:ascii="Times New Roman" w:hAnsi="Times New Roman" w:cs="Times New Roman"/>
                <w:sz w:val="18"/>
                <w:szCs w:val="18"/>
              </w:rPr>
              <w:t xml:space="preserve">Об энергосбережении и о повышении энергетической эффективности и о внесении изменений </w:t>
            </w:r>
          </w:p>
          <w:p w:rsidR="009F5000" w:rsidRDefault="009F5000" w:rsidP="009F5000">
            <w:r w:rsidRPr="005F3688">
              <w:rPr>
                <w:rFonts w:ascii="Times New Roman" w:hAnsi="Times New Roman" w:cs="Times New Roman"/>
                <w:sz w:val="18"/>
                <w:szCs w:val="18"/>
              </w:rPr>
              <w:t>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08680C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ДГХ </w:t>
            </w: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4F6233" w:rsidRDefault="009F5000" w:rsidP="009F5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622F1A" w:rsidTr="009F5000">
        <w:trPr>
          <w:trHeight w:val="277"/>
          <w:jc w:val="center"/>
        </w:trPr>
        <w:tc>
          <w:tcPr>
            <w:tcW w:w="4813" w:type="pct"/>
            <w:gridSpan w:val="2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Цель «Модернизация объектов коммунальной инфраструктуры»</w:t>
            </w:r>
          </w:p>
        </w:tc>
        <w:tc>
          <w:tcPr>
            <w:tcW w:w="187" w:type="pct"/>
            <w:vMerge/>
            <w:tcBorders>
              <w:lef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000" w:rsidRPr="00622F1A" w:rsidTr="009F5000">
        <w:trPr>
          <w:trHeight w:val="1054"/>
          <w:jc w:val="center"/>
        </w:trPr>
        <w:tc>
          <w:tcPr>
            <w:tcW w:w="1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622F1A">
              <w:rPr>
                <w:rFonts w:ascii="Times New Roman" w:hAnsi="Times New Roman" w:cs="Times New Roman"/>
                <w:sz w:val="18"/>
              </w:rPr>
              <w:t xml:space="preserve">Численность населения, для которого улучшится качество предоставления коммунальных услуг (в сфере тепло-, </w:t>
            </w:r>
          </w:p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622F1A">
              <w:rPr>
                <w:rFonts w:ascii="Times New Roman" w:hAnsi="Times New Roman" w:cs="Times New Roman"/>
                <w:sz w:val="18"/>
              </w:rPr>
              <w:t>водоснабжения и водоотведения), нарастающим итогом с 2025 года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</w:pPr>
            <w:r w:rsidRPr="00622F1A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ГП</w:t>
            </w:r>
            <w:r w:rsidRPr="00622F1A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тысяча </w:t>
            </w:r>
          </w:p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rPr>
                <w:rFonts w:ascii="Times New Roman" w:hAnsi="Times New Roman"/>
                <w:sz w:val="18"/>
                <w:szCs w:val="28"/>
              </w:rPr>
            </w:pPr>
            <w:r w:rsidRPr="00622F1A">
              <w:rPr>
                <w:rFonts w:ascii="Times New Roman" w:hAnsi="Times New Roman"/>
                <w:sz w:val="18"/>
                <w:szCs w:val="28"/>
              </w:rPr>
              <w:t xml:space="preserve">постановление Правительства Ханты-Мансийского автономного округа-Югры от 10.11.2023 </w:t>
            </w:r>
            <w:r w:rsidRPr="00622F1A">
              <w:rPr>
                <w:rFonts w:ascii="Times New Roman" w:hAnsi="Times New Roman"/>
                <w:sz w:val="18"/>
                <w:szCs w:val="28"/>
              </w:rPr>
              <w:br/>
              <w:t>№ 561-п «О государственной программе Ханты-Мансийского округа – Югры «Строительство»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622F1A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ДГХ</w:t>
            </w:r>
          </w:p>
        </w:tc>
        <w:tc>
          <w:tcPr>
            <w:tcW w:w="187" w:type="pct"/>
            <w:tcBorders>
              <w:left w:val="single" w:sz="4" w:space="0" w:color="auto"/>
            </w:tcBorders>
            <w:textDirection w:val="tbRl"/>
          </w:tcPr>
          <w:p w:rsidR="009F5000" w:rsidRPr="00622F1A" w:rsidRDefault="009F5000" w:rsidP="009F500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F0770" w:rsidRPr="00622F1A" w:rsidRDefault="001017E1" w:rsidP="001017E1">
      <w:pPr>
        <w:widowControl w:val="0"/>
        <w:autoSpaceDE w:val="0"/>
        <w:autoSpaceDN w:val="0"/>
        <w:adjustRightInd w:val="0"/>
        <w:spacing w:before="16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Примечани</w:t>
      </w:r>
      <w:r w:rsidR="00585DE0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:</w:t>
      </w:r>
    </w:p>
    <w:p w:rsidR="001017E1" w:rsidRPr="00622F1A" w:rsidRDefault="00716279" w:rsidP="001017E1">
      <w:pPr>
        <w:widowControl w:val="0"/>
        <w:autoSpaceDE w:val="0"/>
        <w:autoSpaceDN w:val="0"/>
        <w:adjustRightInd w:val="0"/>
        <w:spacing w:before="16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 xml:space="preserve">1 </w:t>
      </w:r>
      <w:r w:rsidR="001017E1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</w:t>
      </w:r>
      <w:r w:rsidR="001017E1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униципальная программа;</w:t>
      </w:r>
    </w:p>
    <w:p w:rsidR="001017E1" w:rsidRPr="00622F1A" w:rsidRDefault="00716279" w:rsidP="001017E1">
      <w:pPr>
        <w:widowControl w:val="0"/>
        <w:autoSpaceDE w:val="0"/>
        <w:autoSpaceDN w:val="0"/>
        <w:adjustRightInd w:val="0"/>
        <w:spacing w:before="16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 xml:space="preserve">2 </w:t>
      </w:r>
      <w:r w:rsidR="001017E1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Стратегия социально-экономического развития</w:t>
      </w:r>
      <w:r w:rsidR="006105A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города Сургута до 2036 года с целевыми ориентирами до 2050 года</w:t>
      </w:r>
      <w:r w:rsidR="001017E1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1017E1" w:rsidRPr="00622F1A" w:rsidRDefault="00716279" w:rsidP="001017E1">
      <w:pPr>
        <w:widowControl w:val="0"/>
        <w:autoSpaceDE w:val="0"/>
        <w:autoSpaceDN w:val="0"/>
        <w:adjustRightInd w:val="0"/>
        <w:spacing w:before="16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 xml:space="preserve">3 </w:t>
      </w:r>
      <w:r w:rsidR="001017E1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государственная программа</w:t>
      </w:r>
      <w:r w:rsidR="006105A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Ханты-Мансийского автономного округа – Югры «Строительство»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1017E1" w:rsidRPr="00622F1A" w:rsidRDefault="00716279" w:rsidP="00716279">
      <w:pPr>
        <w:widowControl w:val="0"/>
        <w:autoSpaceDE w:val="0"/>
        <w:autoSpaceDN w:val="0"/>
        <w:adjustRightInd w:val="0"/>
        <w:spacing w:before="160" w:line="240" w:lineRule="auto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4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- </w:t>
      </w:r>
      <w:r w:rsidR="00E1141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методика расчета </w:t>
      </w:r>
      <w:r w:rsidR="00B51D5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показателя утверждена </w:t>
      </w:r>
      <w:r w:rsidR="00E1141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постановлением Администрации города </w:t>
      </w:r>
      <w:r w:rsidR="00B51D5D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Сургута </w:t>
      </w:r>
      <w:r w:rsidR="00E1141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 21.03.2024 № 1293;</w:t>
      </w:r>
    </w:p>
    <w:p w:rsidR="00DB500C" w:rsidRPr="00622F1A" w:rsidRDefault="00DB500C" w:rsidP="00716279">
      <w:pPr>
        <w:widowControl w:val="0"/>
        <w:autoSpaceDE w:val="0"/>
        <w:autoSpaceDN w:val="0"/>
        <w:adjustRightInd w:val="0"/>
        <w:spacing w:before="160" w:line="240" w:lineRule="auto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5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- методика расчета показателя утверждена приказом экономического развития Российской Федерации от 28.04.2021 № 231;</w:t>
      </w:r>
    </w:p>
    <w:p w:rsidR="00A04EC5" w:rsidRPr="00622F1A" w:rsidRDefault="00DC71B9" w:rsidP="00716279">
      <w:pPr>
        <w:widowControl w:val="0"/>
        <w:autoSpaceDE w:val="0"/>
        <w:autoSpaceDN w:val="0"/>
        <w:adjustRightInd w:val="0"/>
        <w:spacing w:before="160" w:line="240" w:lineRule="auto"/>
        <w:contextualSpacing/>
        <w:jc w:val="both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6</w:t>
      </w: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- показатель рассчитывается как отношение объема фактической субсидии за счет средств регионального бюджета на возмещение недополученных доходов организациям, осуществляющим реализацию населению сжиженного газа к фактическому объему недополученных доходов получателя субсидии</w:t>
      </w:r>
      <w:r w:rsidR="00391A2B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;</w:t>
      </w:r>
    </w:p>
    <w:p w:rsidR="00716279" w:rsidRDefault="00E11418" w:rsidP="009F5000">
      <w:pPr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sectPr w:rsidR="00716279" w:rsidSect="00BD17BA">
          <w:headerReference w:type="default" r:id="rId9"/>
          <w:pgSz w:w="23811" w:h="16838" w:orient="landscape" w:code="8"/>
          <w:pgMar w:top="426" w:right="567" w:bottom="426" w:left="1701" w:header="709" w:footer="709" w:gutter="0"/>
          <w:pgNumType w:start="3"/>
          <w:cols w:space="708"/>
          <w:docGrid w:linePitch="360"/>
        </w:sectPr>
      </w:pPr>
      <w:r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ab/>
      </w:r>
      <w:r w:rsidR="00E86E08" w:rsidRPr="00622F1A">
        <w:rPr>
          <w:rFonts w:ascii="Times New Roman" w:eastAsiaTheme="minorEastAsia" w:hAnsi="Times New Roman" w:cs="Times New Roman"/>
          <w:bCs/>
          <w:sz w:val="24"/>
          <w:szCs w:val="24"/>
          <w:vertAlign w:val="superscript"/>
          <w:lang w:eastAsia="ru-RU"/>
        </w:rPr>
        <w:t>7</w:t>
      </w:r>
      <w:r w:rsidR="00E86E08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- п</w:t>
      </w:r>
      <w:r w:rsidR="00A85A7A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оказатель рассчит</w:t>
      </w:r>
      <w:r w:rsidR="006630FC" w:rsidRPr="00622F1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ывается как отношение объема фактически выполненных работ по реконструкции/ремонту к объему работ по реконструкции/ремонту, запланированному в соответствующем году.</w:t>
      </w:r>
    </w:p>
    <w:p w:rsidR="00D16358" w:rsidRPr="001017E1" w:rsidRDefault="003C6A93" w:rsidP="001017E1">
      <w:pPr>
        <w:spacing w:before="16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17E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5434C" w:rsidRPr="001017E1">
        <w:rPr>
          <w:rFonts w:ascii="Times New Roman" w:hAnsi="Times New Roman" w:cs="Times New Roman"/>
          <w:sz w:val="28"/>
          <w:szCs w:val="28"/>
        </w:rPr>
        <w:t>. Структура муниципальной программы</w:t>
      </w:r>
      <w:r w:rsidR="00303289">
        <w:rPr>
          <w:rFonts w:ascii="Times New Roman" w:hAnsi="Times New Roman" w:cs="Times New Roman"/>
          <w:sz w:val="28"/>
          <w:szCs w:val="28"/>
        </w:rPr>
        <w:t>.</w:t>
      </w:r>
      <w:r w:rsidR="001017E1" w:rsidRPr="001017E1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1559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4820"/>
        <w:gridCol w:w="141"/>
        <w:gridCol w:w="4962"/>
      </w:tblGrid>
      <w:tr w:rsidR="001017E1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AF38DF" w:rsidRDefault="001017E1" w:rsidP="0019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  <w:r w:rsidRPr="00AF38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AF38DF" w:rsidRDefault="001017E1" w:rsidP="0019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 xml:space="preserve">от реализации задачи структурного </w:t>
            </w:r>
            <w:r w:rsidR="009F79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элемента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E1" w:rsidRPr="00AF38DF" w:rsidRDefault="001017E1" w:rsidP="0019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8DF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AF38DF">
              <w:rPr>
                <w:rFonts w:ascii="Times New Roman" w:hAnsi="Times New Roman" w:cs="Times New Roman"/>
                <w:sz w:val="24"/>
                <w:szCs w:val="24"/>
              </w:rPr>
              <w:br/>
              <w:t>с показателями</w:t>
            </w:r>
            <w:r w:rsidRPr="00AF38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2727" w:history="1"/>
          </w:p>
        </w:tc>
      </w:tr>
      <w:tr w:rsidR="001017E1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AF38DF" w:rsidRDefault="001017E1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AF38DF" w:rsidRDefault="001017E1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E1" w:rsidRPr="00AF38DF" w:rsidRDefault="001017E1" w:rsidP="003543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1C02" w:rsidRPr="00AF38DF" w:rsidTr="005E3B0F">
        <w:trPr>
          <w:trHeight w:val="432"/>
        </w:trPr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C02" w:rsidRDefault="002742F6" w:rsidP="002742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ECA">
              <w:rPr>
                <w:rFonts w:ascii="Times New Roman" w:hAnsi="Times New Roman" w:cs="Times New Roman"/>
                <w:sz w:val="24"/>
                <w:szCs w:val="24"/>
              </w:rPr>
              <w:t>Структурные элементы, не входящие в направления</w:t>
            </w:r>
          </w:p>
        </w:tc>
      </w:tr>
      <w:tr w:rsidR="001017E1" w:rsidRPr="00AF38DF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E1" w:rsidRPr="00621489" w:rsidRDefault="001017E1" w:rsidP="00D51ECA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Муниципальный проект</w:t>
            </w:r>
            <w:r w:rsidRPr="00D51ECA">
              <w:rPr>
                <w:rFonts w:ascii="Times New Roman" w:eastAsia="TimesNew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«Создание (реконструкция) коммунальных объектов»</w:t>
            </w:r>
            <w:r w:rsidRPr="00347D7B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(куратор </w:t>
            </w:r>
            <w:r w:rsidR="00BC1C02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– Агафонов Сергей Александрович, 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заместитель Главы города)</w:t>
            </w:r>
          </w:p>
        </w:tc>
      </w:tr>
      <w:tr w:rsidR="001017E1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064210" w:rsidRDefault="001017E1" w:rsidP="00064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7E1" w:rsidRPr="00064210" w:rsidRDefault="001017E1" w:rsidP="00303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  <w:r w:rsidRPr="005E3B0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0328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342EE" w:rsidRPr="005E3B0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1017E1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E1" w:rsidRPr="003E0FC1" w:rsidRDefault="00621489" w:rsidP="00621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1.1. </w:t>
            </w:r>
            <w:r w:rsidR="001017E1"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3E0F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1017E1"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концентрации вредных </w:t>
            </w:r>
            <w:r w:rsidR="00B677CE" w:rsidRPr="003E0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17E1" w:rsidRPr="003E0FC1">
              <w:rPr>
                <w:rFonts w:ascii="Times New Roman" w:hAnsi="Times New Roman" w:cs="Times New Roman"/>
                <w:sz w:val="24"/>
                <w:szCs w:val="24"/>
              </w:rPr>
              <w:t>веществ в сбросах сточных вод канализационных очистных сооружений до уровня нормативов допустимого сброса для защиты водных ресурсов</w:t>
            </w: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E0FC1" w:rsidRPr="003E0F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DE0" w:rsidRPr="003E0FC1" w:rsidRDefault="00585DE0" w:rsidP="00621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1.2. Задача «Создание коммунальных объектов, обеспечивающих бесперебойное и качественное </w:t>
            </w:r>
            <w:r w:rsidRPr="003E0FC1">
              <w:rPr>
                <w:rFonts w:ascii="Times New Roman" w:hAnsi="Times New Roman" w:cs="Times New Roman"/>
                <w:sz w:val="24"/>
                <w:szCs w:val="24"/>
              </w:rPr>
              <w:br/>
              <w:t>хозяйственно-питьевое и противопожарное водоснабжение»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D90" w:rsidRDefault="00062B39" w:rsidP="005E3B0F">
            <w:pPr>
              <w:autoSpaceDE w:val="0"/>
              <w:autoSpaceDN w:val="0"/>
              <w:adjustRightInd w:val="0"/>
              <w:spacing w:after="0" w:line="240" w:lineRule="auto"/>
              <w:ind w:right="-114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1. Р</w:t>
            </w:r>
            <w:r w:rsidR="00071F2B"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еконструкция объекта «Очистные сооружения </w:t>
            </w:r>
            <w:r w:rsidR="00071F2B" w:rsidRPr="000A5F2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канализационных сточных вод (КОС) </w:t>
            </w:r>
            <w:r w:rsidR="00BF22E8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3E0FC1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город</w:t>
            </w:r>
            <w:r w:rsidR="00071F2B" w:rsidRPr="000A5F24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Сургут производительностью</w:t>
            </w:r>
            <w:r w:rsidR="00071F2B"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24D90" w:rsidRDefault="00071F2B" w:rsidP="00064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150 000 м3/сутки. Строительство нового блока УФО сточных вод с внутрип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лоща</w:t>
            </w:r>
            <w:r w:rsidR="00224D9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д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оч</w:t>
            </w:r>
            <w:r w:rsidR="00224D90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1017E1" w:rsidRDefault="00071F2B" w:rsidP="000642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ными инженерными сетями»</w:t>
            </w:r>
            <w:r w:rsidR="00062B39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96229" w:rsidRPr="003E0FC1" w:rsidRDefault="00396229" w:rsidP="00062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2. Строительство объектов:</w:t>
            </w:r>
          </w:p>
          <w:p w:rsidR="005E3B0F" w:rsidRPr="003E0FC1" w:rsidRDefault="00396229" w:rsidP="0039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="00062B39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«Магистральный водовод по набережной Ивана Кайдалова, проезд Тихий, улица </w:t>
            </w:r>
          </w:p>
          <w:p w:rsidR="00062B39" w:rsidRPr="003E0FC1" w:rsidRDefault="00062B39" w:rsidP="003962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Мелик-Карамова от проспекта Комсомольский до улицы Геологическая в городе</w:t>
            </w:r>
            <w:r w:rsidR="007F3805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Сургуте (2-ой и 3-й этап строительства)</w:t>
            </w:r>
            <w:r w:rsidR="001B1392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»</w:t>
            </w:r>
            <w:r w:rsidR="00396229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;</w:t>
            </w:r>
          </w:p>
          <w:p w:rsidR="00396229" w:rsidRPr="00064210" w:rsidRDefault="00396229" w:rsidP="005E3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- </w:t>
            </w:r>
            <w:r w:rsidR="001B1392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«Магистральный водовод по ул</w:t>
            </w:r>
            <w:r w:rsidR="005E3B0F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ице</w:t>
            </w:r>
            <w:r w:rsidR="001B1392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Мелик-Карамова от проезда Тихий до ул</w:t>
            </w:r>
            <w:r w:rsidR="005E3B0F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ицы</w:t>
            </w:r>
            <w:r w:rsidR="001B1392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Энергетиков в г</w:t>
            </w:r>
            <w:r w:rsidR="005E3B0F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>ороде</w:t>
            </w:r>
            <w:r w:rsidR="001B1392" w:rsidRPr="003E0FC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Сургуте»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642" w:rsidRPr="003E0FC1" w:rsidRDefault="003E0FC1" w:rsidP="005E3B0F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3E0FC1">
              <w:rPr>
                <w:rFonts w:ascii="Times New Roman" w:hAnsi="Times New Roman" w:cs="Times New Roman"/>
              </w:rPr>
              <w:t xml:space="preserve">- </w:t>
            </w:r>
            <w:r w:rsidR="00770A9E" w:rsidRPr="003E0FC1">
              <w:rPr>
                <w:rFonts w:ascii="Times New Roman" w:hAnsi="Times New Roman" w:cs="Times New Roman"/>
              </w:rPr>
              <w:t>д</w:t>
            </w:r>
            <w:r w:rsidR="00071F2B" w:rsidRPr="003E0FC1">
              <w:rPr>
                <w:rFonts w:ascii="Times New Roman" w:hAnsi="Times New Roman" w:cs="Times New Roman"/>
              </w:rPr>
              <w:t>оля реконструированных/</w:t>
            </w:r>
            <w:r w:rsidR="005E3B0F" w:rsidRPr="003E0FC1">
              <w:rPr>
                <w:rFonts w:ascii="Times New Roman" w:hAnsi="Times New Roman" w:cs="Times New Roman"/>
              </w:rPr>
              <w:t>отремонтированных</w:t>
            </w:r>
            <w:r w:rsidR="00071F2B" w:rsidRPr="003E0FC1">
              <w:rPr>
                <w:rFonts w:ascii="Times New Roman" w:hAnsi="Times New Roman" w:cs="Times New Roman"/>
              </w:rPr>
              <w:t xml:space="preserve"> инженерных объектов от инженерных объектов, по которым реконструкция/ремонт запланированы в соответствующем году</w:t>
            </w:r>
            <w:r w:rsidR="005E3B0F" w:rsidRPr="003E0FC1">
              <w:rPr>
                <w:rFonts w:ascii="Times New Roman" w:hAnsi="Times New Roman" w:cs="Times New Roman"/>
              </w:rPr>
              <w:t>;</w:t>
            </w:r>
          </w:p>
          <w:p w:rsidR="00062B39" w:rsidRPr="003E0FC1" w:rsidRDefault="003E0FC1" w:rsidP="00062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56FC"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доля городского населения, обеспеченного </w:t>
            </w:r>
            <w:r w:rsidR="005E3B0F" w:rsidRPr="003E0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56FC" w:rsidRPr="003E0FC1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качественной питьевой водой из систем </w:t>
            </w:r>
            <w:r w:rsidR="005E3B0F" w:rsidRPr="003E0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456FC" w:rsidRPr="003E0FC1">
              <w:rPr>
                <w:rFonts w:ascii="Times New Roman" w:hAnsi="Times New Roman" w:cs="Times New Roman"/>
                <w:sz w:val="24"/>
                <w:szCs w:val="24"/>
              </w:rPr>
              <w:t>централизованного водоснабжения</w:t>
            </w:r>
          </w:p>
        </w:tc>
      </w:tr>
      <w:tr w:rsidR="005878DD" w:rsidRPr="00622F1A" w:rsidTr="005878DD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622F1A" w:rsidRDefault="005878DD" w:rsidP="003C2496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>2. Муниципальный проект «Модернизация коммунальной инфраструктуры»</w:t>
            </w:r>
            <w:r w:rsidRPr="00622F1A">
              <w:rPr>
                <w:rFonts w:ascii="Times New Roman" w:eastAsia="TimesNewRoman" w:hAnsi="Times New Roman" w:cs="Times New Roman"/>
                <w:highlight w:val="white"/>
              </w:rPr>
              <w:t xml:space="preserve"> (куратор – Агафонов Сергей Александрович, заместитель Главы города)</w:t>
            </w:r>
          </w:p>
        </w:tc>
      </w:tr>
      <w:tr w:rsidR="005878DD" w:rsidRPr="00622F1A" w:rsidTr="005878DD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622F1A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622F1A" w:rsidRDefault="005878DD" w:rsidP="00303289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>Срок реализации 2025</w:t>
            </w:r>
            <w:r w:rsidR="00303289">
              <w:rPr>
                <w:rFonts w:ascii="Times New Roman" w:hAnsi="Times New Roman" w:cs="Times New Roman"/>
              </w:rPr>
              <w:t xml:space="preserve"> – </w:t>
            </w:r>
            <w:r w:rsidRPr="00622F1A">
              <w:rPr>
                <w:rFonts w:ascii="Times New Roman" w:hAnsi="Times New Roman" w:cs="Times New Roman"/>
              </w:rPr>
              <w:t>2027</w:t>
            </w:r>
          </w:p>
        </w:tc>
      </w:tr>
      <w:tr w:rsidR="005878DD" w:rsidRPr="00622F1A" w:rsidTr="005878DD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622F1A" w:rsidRDefault="009C2CB3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>Задача «</w:t>
            </w:r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объектов коммунальной </w:t>
            </w:r>
            <w:r w:rsidR="007F38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инфраструктуры, обеспечивающих бесперебойное </w:t>
            </w:r>
            <w:r w:rsidR="007F380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878DD" w:rsidRPr="00622F1A">
              <w:rPr>
                <w:rFonts w:ascii="Times New Roman" w:hAnsi="Times New Roman" w:cs="Times New Roman"/>
                <w:sz w:val="24"/>
                <w:szCs w:val="24"/>
              </w:rPr>
              <w:t>и качественное предоставления коммунальных услуг (в сфере тепло-,</w:t>
            </w:r>
            <w:r w:rsidRPr="00622F1A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 и водоотведения)»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CB3" w:rsidRPr="00622F1A" w:rsidRDefault="009C2CB3" w:rsidP="009C2CB3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>1. Улучшение качества предоставления коммунальных услуг (в сфере тепло-, водоснабжения и водоотведения) не менее 3,</w:t>
            </w:r>
            <w:r w:rsidR="00FA36CD">
              <w:rPr>
                <w:rFonts w:ascii="Times New Roman" w:hAnsi="Times New Roman" w:cs="Times New Roman"/>
              </w:rPr>
              <w:t>3</w:t>
            </w:r>
            <w:r w:rsidRPr="00622F1A">
              <w:rPr>
                <w:rFonts w:ascii="Times New Roman" w:hAnsi="Times New Roman" w:cs="Times New Roman"/>
              </w:rPr>
              <w:t xml:space="preserve"> тыс. человек ежегодно.</w:t>
            </w:r>
          </w:p>
          <w:p w:rsidR="005878DD" w:rsidRDefault="009C2CB3" w:rsidP="009C2CB3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t xml:space="preserve">2. Реконструкция объекта «Магистральный напорный канализационный коллектор </w:t>
            </w:r>
            <w:r w:rsidRPr="00622F1A">
              <w:rPr>
                <w:rFonts w:ascii="Times New Roman" w:hAnsi="Times New Roman" w:cs="Times New Roman"/>
              </w:rPr>
              <w:br/>
              <w:t xml:space="preserve">от КНС-3 (речка «Черная») до мехколонны </w:t>
            </w:r>
            <w:r w:rsidRPr="00622F1A">
              <w:rPr>
                <w:rFonts w:ascii="Times New Roman" w:hAnsi="Times New Roman" w:cs="Times New Roman"/>
              </w:rPr>
              <w:br/>
              <w:t>№ 114 (колодец-гаситель)»</w:t>
            </w:r>
          </w:p>
          <w:p w:rsidR="00FA36CD" w:rsidRPr="00FA36CD" w:rsidRDefault="00FA36CD" w:rsidP="00FA3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Капитальный ремонт объекта коммунальной инфраструктуры «Коллектор хозбытовой канализации». Инв. № 30236. Участок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КК-сущ. до КК- 13*, L-811 (м) d-800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участок от КК-19 до КК-20, L-87,3 (м)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d-500, расположен-ные по ул. Островского («Коллектор хозбытовой канализации».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Инв.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FA36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30236. Участок от КК-сущ. до КК-8, расположенный по ул. Островского»)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622F1A" w:rsidRDefault="009C2CB3" w:rsidP="005878DD">
            <w:pPr>
              <w:pStyle w:val="a9"/>
              <w:ind w:right="-113"/>
              <w:rPr>
                <w:rFonts w:ascii="Times New Roman" w:hAnsi="Times New Roman" w:cs="Times New Roman"/>
              </w:rPr>
            </w:pPr>
            <w:r w:rsidRPr="00622F1A">
              <w:rPr>
                <w:rFonts w:ascii="Times New Roman" w:hAnsi="Times New Roman" w:cs="Times New Roman"/>
              </w:rPr>
              <w:lastRenderedPageBreak/>
              <w:t xml:space="preserve">- численность населения, для которого улучшится качество предоставления коммунальных услуг (в сфере тепло-, водоснабжения </w:t>
            </w:r>
            <w:r w:rsidRPr="00622F1A">
              <w:rPr>
                <w:rFonts w:ascii="Times New Roman" w:hAnsi="Times New Roman" w:cs="Times New Roman"/>
              </w:rPr>
              <w:br/>
              <w:t>и водоотведения), нарастающим итогом с 2025 года</w:t>
            </w:r>
          </w:p>
        </w:tc>
      </w:tr>
      <w:tr w:rsidR="005878DD" w:rsidRPr="00AF38DF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4210" w:rsidRDefault="009C2CB3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78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78DD" w:rsidRPr="0006421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«Обеспечение надежности и качества предоставления коммунальных услуг» </w:t>
            </w:r>
          </w:p>
        </w:tc>
      </w:tr>
      <w:tr w:rsidR="005878DD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421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421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78DD" w:rsidRPr="00AF38DF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8DD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Повышение эффективности, качества </w:t>
            </w:r>
          </w:p>
          <w:p w:rsidR="005878DD" w:rsidRPr="0006421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 надежности предоставления коммунальных услуг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C07605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Замена ветхих инженерных сетей протяженностью не менее </w:t>
            </w:r>
            <w:r w:rsidR="00FA36C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9,07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км в однотрубном исчислении в рамках региональной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программы Х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анты-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М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ансийского автономного округа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– Югры «Модернизация систем коммунальной инфраструктуры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на 2023-2027 год» и инвестиционных,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производственных программ С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ургутского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городского муниципального унитарного предприятия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«Городские тепловые сети»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(далее – СГМУП «ГТС»)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, С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ургутского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  <w:t>городского муниципального унитарного предприятия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«Горводоканал»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(далее – СГМУП «Горводоканал»)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78DD" w:rsidRPr="00C07605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Обеспечение городского населения качественной питьевой водой из источников централизованного водоснабжения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78DD" w:rsidRPr="00C00903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Обеспечение населения в многоквартирных жилых домах услугой централизованного водоотведения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</w:t>
            </w:r>
            <w:r w:rsidRPr="00432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оля городского населения, обеспеченного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качественной питьевой водой из систем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централизованного водоснабжения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78DD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</w:t>
            </w:r>
            <w:r w:rsidRPr="00432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оля замены ветхих инженерных сетей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32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теплоснабжения, водоснабжения, водоотведения от общей протяженности ветхих </w:t>
            </w:r>
          </w:p>
          <w:p w:rsidR="005878DD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инженерных сетей теплоснабжения, водоснабжения, водоотведения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78DD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</w:t>
            </w:r>
            <w:r w:rsidRPr="00432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оля населения в многоквартирных жилых </w:t>
            </w:r>
          </w:p>
          <w:p w:rsidR="005878DD" w:rsidRPr="00C07605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A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домах, охваченных услугой централизованного водоотведения</w:t>
            </w:r>
          </w:p>
          <w:p w:rsidR="005878DD" w:rsidRPr="00AF38DF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8DD" w:rsidRPr="00065B71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5B71" w:rsidRDefault="009C2CB3" w:rsidP="00587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. Комплекс процессных мероприятий 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5878DD" w:rsidRPr="005122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беспечение равных прав потребителей на получение энергетических ресур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5878DD" w:rsidRPr="0051221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 w:rsidR="005878DD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065B71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5B71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878DD" w:rsidRPr="00BF5FF6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BF5FF6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Задача «</w:t>
            </w:r>
            <w:r w:rsidRPr="0051221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Обеспечение устойчивого снабжения потребителей услугами газоснабжения</w:t>
            </w:r>
            <w:r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Возмещение недополученных доходов </w:t>
            </w:r>
          </w:p>
          <w:p w:rsidR="005878DD" w:rsidRPr="00C07605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организациям, осуществляющим реализацию населению сжиженного газа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по социально-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ориентированным розничным ценам</w:t>
            </w: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5878DD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Проведение мероприятий в виде информирования по подготовке населения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к использованию газа в соответствии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 региональной программой; согласование схемы расположения объектов газоснабжения города в составе региональной </w:t>
            </w:r>
          </w:p>
          <w:p w:rsidR="005878DD" w:rsidRPr="00C07605" w:rsidRDefault="005878DD" w:rsidP="005878DD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программы газификации; проведение мониторинга сроков исполнения договоров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на подключение (технологическое присоединение) к сетям газораспределения – доля неисполненных договоров в установленный срок 0% ежегодно</w:t>
            </w: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5878DD" w:rsidRPr="00C00903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3. </w:t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Мероприятия в части газоснабжения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осуществляются в рамках Региональной программы газификации жилищно-коммунального хозяйства, промышленных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sz w:val="24"/>
                <w:szCs w:val="24"/>
              </w:rPr>
              <w:t>и иных организаций Ханты-Мансийского автоном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ного округа – Югры до 2030 года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770A9E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</w:t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оля возмещения недополученных доходов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газоснабжающей организации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78DD" w:rsidRPr="00BF5FF6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</w:t>
            </w:r>
            <w:r w:rsidRPr="00512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ровень удовлетворенности заявителей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эффективностью процедуры подключения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sz w:val="24"/>
                <w:szCs w:val="24"/>
              </w:rPr>
              <w:t>к газораспределительным сетям</w:t>
            </w:r>
          </w:p>
        </w:tc>
      </w:tr>
      <w:tr w:rsidR="005878DD" w:rsidRPr="00065B71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D836DD" w:rsidRDefault="009C2CB3" w:rsidP="00FA3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5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. Комплекс процессных мероприятий «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Разработка и актуализация схем тепло-, водоснабжения и водоотведения город</w:t>
            </w:r>
            <w:r w:rsidR="00FA36C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а 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Сургут</w:t>
            </w:r>
            <w:r w:rsidR="00FA36CD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»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065B71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065B71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D836DD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Задача «</w:t>
            </w:r>
            <w:r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взаимосвязанного развития инженерной инфраструктуры и строительства,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их синхронизация</w:t>
            </w:r>
            <w:r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D836DD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5122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азработка и актуализация схем тепло-,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водоснабжения и водоотведения муниципального обр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азования городской округ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Сургут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5F3688" w:rsidRDefault="005878DD" w:rsidP="00587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F368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актуализированных схем тепло-, водоснабжения, водоотведения;</w:t>
            </w:r>
          </w:p>
          <w:p w:rsidR="005878DD" w:rsidRPr="00770A9E" w:rsidRDefault="005878DD" w:rsidP="005878D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368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схем тепло-, </w:t>
            </w:r>
            <w:r w:rsidRPr="005F3688">
              <w:rPr>
                <w:rFonts w:ascii="Times New Roman" w:hAnsi="Times New Roman" w:cs="Times New Roman"/>
                <w:sz w:val="24"/>
                <w:szCs w:val="24"/>
              </w:rPr>
              <w:br/>
              <w:t>водоснабжения, водоотведения</w:t>
            </w:r>
          </w:p>
        </w:tc>
      </w:tr>
      <w:tr w:rsidR="005878DD" w:rsidRPr="00065B71" w:rsidTr="005E3B0F">
        <w:tc>
          <w:tcPr>
            <w:tcW w:w="15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C07605" w:rsidRDefault="009C2CB3" w:rsidP="00587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>6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Комплекс процессных мероприятий </w:t>
            </w:r>
            <w:r w:rsidR="005878DD" w:rsidRPr="00C07605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878DD" w:rsidRPr="0051221C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Реализация энергосберегающих мероприятий (проектов) в отраслях экономики</w:t>
            </w:r>
            <w:r w:rsidR="005878DD" w:rsidRPr="00C0760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065B71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4210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реализацию: ДГХ</w:t>
            </w:r>
          </w:p>
        </w:tc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F57A7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Default="009C2CB3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878DD" w:rsidRPr="00C076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.1. Задача «</w:t>
            </w:r>
            <w:r w:rsidR="005878DD"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Снижение удельных показателей </w:t>
            </w:r>
          </w:p>
          <w:p w:rsidR="005878DD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потребления энергетических ресурсов </w:t>
            </w:r>
          </w:p>
          <w:p w:rsidR="005878DD" w:rsidRPr="0006421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муниципальном секторе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2DB5">
              <w:rPr>
                <w:rFonts w:ascii="Times New Roman" w:hAnsi="Times New Roman" w:cs="Times New Roman"/>
                <w:sz w:val="24"/>
                <w:szCs w:val="24"/>
              </w:rPr>
              <w:t>нижение удельных расходов энергетических ресурсов в муниципальных учреждениях путем проведения энергоэффективных мероприя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  <w:p w:rsidR="005878DD" w:rsidRPr="00064210" w:rsidRDefault="005878DD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к</w:t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энергосервисных договоров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(контрактов), заключенных муниципальными учреждениями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5878DD" w:rsidRPr="000672EF" w:rsidRDefault="005878DD" w:rsidP="005878D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themeColor="background1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у</w:t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дельный расход электрической энергии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512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снабжение органов местного самоуправления и муниципальных учреждений (в расчете на 1 кв. метр общей площади)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064210" w:rsidRDefault="009C2CB3" w:rsidP="0058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878DD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 Задача «</w:t>
            </w:r>
            <w:r w:rsidR="005878DD" w:rsidRPr="003E4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Снижение удельных показателей энергоемкости и энергопотребления в системах коммунальной инфраструктуры</w:t>
            </w:r>
            <w:r w:rsidR="005878DD" w:rsidRPr="00C0760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Pr="00C07605" w:rsidRDefault="005878DD" w:rsidP="005878DD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Повышение энергоэффективности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при производстве, передаче и потреблении энергоресурсов на основе новейшего энергоэффективного оборудования, ресурсосберегающих технологий в муниципальных предприятиях (с привлечением внебюджетных источников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муниципальных предприятий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СГМУП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ГТС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»,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>СГМУП</w:t>
            </w:r>
            <w:r w:rsidRPr="00432AEE">
              <w:rPr>
                <w:rFonts w:ascii="Times New Roman" w:eastAsia="TimesNewRoman" w:hAnsi="Times New Roman" w:cs="Times New Roman"/>
                <w:color w:val="000000" w:themeColor="text1"/>
                <w:sz w:val="24"/>
                <w:szCs w:val="24"/>
              </w:rPr>
              <w:t xml:space="preserve"> «Горводоканал»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).</w:t>
            </w:r>
          </w:p>
          <w:p w:rsidR="005878DD" w:rsidRPr="00C07605" w:rsidRDefault="005878DD" w:rsidP="005878DD">
            <w:pPr>
              <w:shd w:val="clear" w:color="FFFFFF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60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Ликвидация бесхозяйных объектов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и обеспечение их надлежащей эксплуатации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нормативных потерь воды в централизованных системах водоснабжения при транспортировке в общем объеме воды, поданной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>в водопроводную сеть на территории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78DD" w:rsidRDefault="005878DD" w:rsidP="005878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hAnsi="Times New Roman" w:cs="Times New Roman"/>
                <w:sz w:val="24"/>
                <w:szCs w:val="24"/>
              </w:rPr>
              <w:t>оля нормативных потерь тепловой энергии при ее передаче в общем объеме переданной тепловой энергии на территории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878DD" w:rsidRPr="00C07605" w:rsidRDefault="005878DD" w:rsidP="005878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hAnsi="Times New Roman" w:cs="Times New Roman"/>
                <w:sz w:val="24"/>
                <w:szCs w:val="24"/>
              </w:rPr>
              <w:t>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</w:t>
            </w:r>
          </w:p>
        </w:tc>
      </w:tr>
      <w:tr w:rsidR="005878DD" w:rsidRPr="00065B71" w:rsidTr="005E3B0F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DD" w:rsidRPr="00C07605" w:rsidRDefault="009C2CB3" w:rsidP="005878D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5878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.3. Задача «</w:t>
            </w:r>
            <w:r w:rsidR="005878DD" w:rsidRPr="003E4C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энергосберегающих мероприятий в жилищном фонде</w:t>
            </w:r>
            <w:r w:rsidR="005878D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1.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Обеспечение учета фактического потребления энергетических ресурсов в муниципальном жилищном фонде.</w:t>
            </w:r>
          </w:p>
          <w:p w:rsidR="005878DD" w:rsidRDefault="005878DD" w:rsidP="005878DD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2.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Популяризация энергосбережения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и рационального потребления энергоресурсов среди населения.</w:t>
            </w:r>
          </w:p>
          <w:p w:rsidR="005878DD" w:rsidRPr="00C07605" w:rsidRDefault="005878DD" w:rsidP="005878DD">
            <w:pPr>
              <w:shd w:val="clear" w:color="FFFFFF" w:fill="FFFFFF"/>
              <w:spacing w:after="0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3. </w:t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Организация публикаций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 периодических печатных изданиях,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на официальном портале Администрации города, выпуски в эфир телепередач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NewRoman" w:hAnsi="Times New Roman" w:cs="Times New Roman"/>
                <w:sz w:val="24"/>
                <w:szCs w:val="24"/>
              </w:rPr>
              <w:t>о мероприятиях и способах энергосбережения и повышения энергетической эффекти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вности – 3 мероприятия ежегодно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78DD" w:rsidRDefault="005878DD" w:rsidP="005878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индивидуальных приборов учета энергетических ресурсов, установленных (замененных, поверенных) в жилых и нежилых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помещениях муниципальной собственности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78DD" w:rsidRPr="00C07605" w:rsidRDefault="005878DD" w:rsidP="005878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публикаций в периодических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печатных изданиях, социальных сетях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официальном портале</w:t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города, выпусков в эфире телепередач о мероприятиях и способах энергосбережения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E4C45">
              <w:rPr>
                <w:rFonts w:ascii="Times New Roman" w:eastAsia="Times New Roman" w:hAnsi="Times New Roman" w:cs="Times New Roman"/>
                <w:sz w:val="24"/>
                <w:szCs w:val="24"/>
              </w:rPr>
              <w:t>и повышения энергетической эффективности</w:t>
            </w:r>
          </w:p>
        </w:tc>
      </w:tr>
    </w:tbl>
    <w:p w:rsidR="00800B23" w:rsidRDefault="00800B23" w:rsidP="00EE082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color w:val="FF0000"/>
          <w:sz w:val="24"/>
          <w:szCs w:val="24"/>
        </w:rPr>
        <w:sectPr w:rsidR="00800B23" w:rsidSect="00FA36CD">
          <w:pgSz w:w="16838" w:h="11906" w:orient="landscape" w:code="9"/>
          <w:pgMar w:top="1276" w:right="567" w:bottom="567" w:left="567" w:header="709" w:footer="709" w:gutter="0"/>
          <w:cols w:space="708"/>
          <w:docGrid w:linePitch="360"/>
        </w:sectPr>
      </w:pPr>
    </w:p>
    <w:p w:rsidR="00800B23" w:rsidRPr="00800B23" w:rsidRDefault="00800B23" w:rsidP="00800B23">
      <w:pPr>
        <w:rPr>
          <w:rFonts w:ascii="Times New Roman" w:hAnsi="Times New Roman" w:cs="Times New Roman"/>
          <w:sz w:val="24"/>
          <w:szCs w:val="24"/>
        </w:rPr>
      </w:pPr>
    </w:p>
    <w:sectPr w:rsidR="00800B23" w:rsidRPr="00800B23" w:rsidSect="00800B23">
      <w:type w:val="continuous"/>
      <w:pgSz w:w="16838" w:h="11906" w:orient="landscape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26" w:rsidRDefault="00ED0426" w:rsidP="00827BC0">
      <w:pPr>
        <w:spacing w:after="0" w:line="240" w:lineRule="auto"/>
      </w:pPr>
      <w:r>
        <w:separator/>
      </w:r>
    </w:p>
  </w:endnote>
  <w:endnote w:type="continuationSeparator" w:id="0">
    <w:p w:rsidR="00ED0426" w:rsidRDefault="00ED0426" w:rsidP="0082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26" w:rsidRDefault="00ED0426" w:rsidP="00827BC0">
      <w:pPr>
        <w:spacing w:after="0" w:line="240" w:lineRule="auto"/>
      </w:pPr>
      <w:r>
        <w:separator/>
      </w:r>
    </w:p>
  </w:footnote>
  <w:footnote w:type="continuationSeparator" w:id="0">
    <w:p w:rsidR="00ED0426" w:rsidRDefault="00ED0426" w:rsidP="0082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207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F5000" w:rsidRPr="000A5F24" w:rsidRDefault="009F5000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5F2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5F2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5F2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123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A5F2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F5000" w:rsidRDefault="009F500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53"/>
    <w:multiLevelType w:val="hybridMultilevel"/>
    <w:tmpl w:val="241A587E"/>
    <w:lvl w:ilvl="0" w:tplc="D602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493EBB"/>
    <w:multiLevelType w:val="hybridMultilevel"/>
    <w:tmpl w:val="F41A4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AA7"/>
    <w:multiLevelType w:val="hybridMultilevel"/>
    <w:tmpl w:val="FA9A9C8E"/>
    <w:lvl w:ilvl="0" w:tplc="778CDC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1697A"/>
    <w:multiLevelType w:val="hybridMultilevel"/>
    <w:tmpl w:val="428C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C63BA"/>
    <w:multiLevelType w:val="hybridMultilevel"/>
    <w:tmpl w:val="1AE4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B699C"/>
    <w:multiLevelType w:val="hybridMultilevel"/>
    <w:tmpl w:val="3C0E6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70981"/>
    <w:multiLevelType w:val="hybridMultilevel"/>
    <w:tmpl w:val="AFC83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E338C"/>
    <w:multiLevelType w:val="hybridMultilevel"/>
    <w:tmpl w:val="377A8C28"/>
    <w:lvl w:ilvl="0" w:tplc="05B2DD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5A536BA"/>
    <w:multiLevelType w:val="hybridMultilevel"/>
    <w:tmpl w:val="490823F6"/>
    <w:lvl w:ilvl="0" w:tplc="D8420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92658C"/>
    <w:multiLevelType w:val="hybridMultilevel"/>
    <w:tmpl w:val="F21EE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70F42"/>
    <w:multiLevelType w:val="hybridMultilevel"/>
    <w:tmpl w:val="E5F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6150F"/>
    <w:multiLevelType w:val="hybridMultilevel"/>
    <w:tmpl w:val="20E42F42"/>
    <w:lvl w:ilvl="0" w:tplc="4FB68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5"/>
    <w:rsid w:val="00003C0A"/>
    <w:rsid w:val="000106FF"/>
    <w:rsid w:val="000256A6"/>
    <w:rsid w:val="0002697A"/>
    <w:rsid w:val="00033E49"/>
    <w:rsid w:val="000342EE"/>
    <w:rsid w:val="00035FFB"/>
    <w:rsid w:val="0004366E"/>
    <w:rsid w:val="000505A1"/>
    <w:rsid w:val="00053646"/>
    <w:rsid w:val="00053B2C"/>
    <w:rsid w:val="00054B5B"/>
    <w:rsid w:val="000551C1"/>
    <w:rsid w:val="00057530"/>
    <w:rsid w:val="00062B39"/>
    <w:rsid w:val="00064210"/>
    <w:rsid w:val="00065B71"/>
    <w:rsid w:val="00066B58"/>
    <w:rsid w:val="000672EF"/>
    <w:rsid w:val="00071F2B"/>
    <w:rsid w:val="000728BD"/>
    <w:rsid w:val="00073E66"/>
    <w:rsid w:val="00075C80"/>
    <w:rsid w:val="00076135"/>
    <w:rsid w:val="00076988"/>
    <w:rsid w:val="000837A2"/>
    <w:rsid w:val="000853FA"/>
    <w:rsid w:val="00085C45"/>
    <w:rsid w:val="000873D3"/>
    <w:rsid w:val="00096DDC"/>
    <w:rsid w:val="000A026D"/>
    <w:rsid w:val="000A5F24"/>
    <w:rsid w:val="000A648E"/>
    <w:rsid w:val="000A6612"/>
    <w:rsid w:val="000B1114"/>
    <w:rsid w:val="000C2453"/>
    <w:rsid w:val="000C2F1F"/>
    <w:rsid w:val="000C42AD"/>
    <w:rsid w:val="000C4583"/>
    <w:rsid w:val="000D291D"/>
    <w:rsid w:val="000D6F1C"/>
    <w:rsid w:val="000D78F1"/>
    <w:rsid w:val="000E2FB6"/>
    <w:rsid w:val="000E6BE3"/>
    <w:rsid w:val="000E6C08"/>
    <w:rsid w:val="000F0574"/>
    <w:rsid w:val="000F1E29"/>
    <w:rsid w:val="000F4405"/>
    <w:rsid w:val="000F44E2"/>
    <w:rsid w:val="000F6A0C"/>
    <w:rsid w:val="001017E1"/>
    <w:rsid w:val="00101FE1"/>
    <w:rsid w:val="001066E5"/>
    <w:rsid w:val="00107D9B"/>
    <w:rsid w:val="00113DB4"/>
    <w:rsid w:val="0012096E"/>
    <w:rsid w:val="00130D0A"/>
    <w:rsid w:val="00134A1F"/>
    <w:rsid w:val="00143B6D"/>
    <w:rsid w:val="00150166"/>
    <w:rsid w:val="00161932"/>
    <w:rsid w:val="00170216"/>
    <w:rsid w:val="00171581"/>
    <w:rsid w:val="00175CE3"/>
    <w:rsid w:val="001814C2"/>
    <w:rsid w:val="00185CCC"/>
    <w:rsid w:val="00192B87"/>
    <w:rsid w:val="00195779"/>
    <w:rsid w:val="001A0388"/>
    <w:rsid w:val="001A3C6E"/>
    <w:rsid w:val="001B1392"/>
    <w:rsid w:val="001B3368"/>
    <w:rsid w:val="001B70AD"/>
    <w:rsid w:val="001C16F9"/>
    <w:rsid w:val="001D0523"/>
    <w:rsid w:val="001D3981"/>
    <w:rsid w:val="001D5D49"/>
    <w:rsid w:val="001D6F04"/>
    <w:rsid w:val="001E67A6"/>
    <w:rsid w:val="001F31F3"/>
    <w:rsid w:val="001F57B0"/>
    <w:rsid w:val="001F5E2C"/>
    <w:rsid w:val="001F703B"/>
    <w:rsid w:val="001F7795"/>
    <w:rsid w:val="002208EC"/>
    <w:rsid w:val="00221FC7"/>
    <w:rsid w:val="00222E5F"/>
    <w:rsid w:val="002244BB"/>
    <w:rsid w:val="00224D90"/>
    <w:rsid w:val="00226E4B"/>
    <w:rsid w:val="0023483A"/>
    <w:rsid w:val="00235AA4"/>
    <w:rsid w:val="0023706B"/>
    <w:rsid w:val="002408AF"/>
    <w:rsid w:val="002420FD"/>
    <w:rsid w:val="00262DDC"/>
    <w:rsid w:val="00263699"/>
    <w:rsid w:val="00266B8A"/>
    <w:rsid w:val="00267E6C"/>
    <w:rsid w:val="00270DE6"/>
    <w:rsid w:val="00272D61"/>
    <w:rsid w:val="002742F6"/>
    <w:rsid w:val="002768A8"/>
    <w:rsid w:val="0028127E"/>
    <w:rsid w:val="002A0642"/>
    <w:rsid w:val="002A43ED"/>
    <w:rsid w:val="002B4A52"/>
    <w:rsid w:val="002B5A14"/>
    <w:rsid w:val="002C1874"/>
    <w:rsid w:val="002C2B34"/>
    <w:rsid w:val="002C542C"/>
    <w:rsid w:val="002D0CA3"/>
    <w:rsid w:val="00303289"/>
    <w:rsid w:val="00306E79"/>
    <w:rsid w:val="00321766"/>
    <w:rsid w:val="00321B19"/>
    <w:rsid w:val="00326414"/>
    <w:rsid w:val="00327974"/>
    <w:rsid w:val="00330D6B"/>
    <w:rsid w:val="003335C4"/>
    <w:rsid w:val="00334081"/>
    <w:rsid w:val="00334D5C"/>
    <w:rsid w:val="0034465B"/>
    <w:rsid w:val="003456FC"/>
    <w:rsid w:val="0035434C"/>
    <w:rsid w:val="00355B3F"/>
    <w:rsid w:val="00356A8D"/>
    <w:rsid w:val="00362986"/>
    <w:rsid w:val="00362A55"/>
    <w:rsid w:val="003709AA"/>
    <w:rsid w:val="003761C1"/>
    <w:rsid w:val="00381C15"/>
    <w:rsid w:val="00384DE9"/>
    <w:rsid w:val="00391A2B"/>
    <w:rsid w:val="00396229"/>
    <w:rsid w:val="003A287A"/>
    <w:rsid w:val="003C2496"/>
    <w:rsid w:val="003C6A93"/>
    <w:rsid w:val="003E0FC1"/>
    <w:rsid w:val="003E5854"/>
    <w:rsid w:val="003E63DE"/>
    <w:rsid w:val="003F0BEA"/>
    <w:rsid w:val="003F2E5C"/>
    <w:rsid w:val="003F63A4"/>
    <w:rsid w:val="0041060C"/>
    <w:rsid w:val="004116F5"/>
    <w:rsid w:val="00415DD4"/>
    <w:rsid w:val="0042036C"/>
    <w:rsid w:val="004257AB"/>
    <w:rsid w:val="00440FC0"/>
    <w:rsid w:val="00450F92"/>
    <w:rsid w:val="0045466B"/>
    <w:rsid w:val="004549F5"/>
    <w:rsid w:val="0045567B"/>
    <w:rsid w:val="00456A97"/>
    <w:rsid w:val="00472D1F"/>
    <w:rsid w:val="00474C28"/>
    <w:rsid w:val="00475C2C"/>
    <w:rsid w:val="004800DA"/>
    <w:rsid w:val="004922E6"/>
    <w:rsid w:val="004A5943"/>
    <w:rsid w:val="004A63AA"/>
    <w:rsid w:val="004B2B2F"/>
    <w:rsid w:val="004C584C"/>
    <w:rsid w:val="004C75ED"/>
    <w:rsid w:val="004D1970"/>
    <w:rsid w:val="004D654E"/>
    <w:rsid w:val="004E0AAC"/>
    <w:rsid w:val="004E57D1"/>
    <w:rsid w:val="004F0770"/>
    <w:rsid w:val="004F6233"/>
    <w:rsid w:val="00506198"/>
    <w:rsid w:val="00512CBD"/>
    <w:rsid w:val="00516DAF"/>
    <w:rsid w:val="00521384"/>
    <w:rsid w:val="00521A13"/>
    <w:rsid w:val="00524600"/>
    <w:rsid w:val="00526673"/>
    <w:rsid w:val="00527617"/>
    <w:rsid w:val="0053312D"/>
    <w:rsid w:val="00551270"/>
    <w:rsid w:val="00560A42"/>
    <w:rsid w:val="005625A5"/>
    <w:rsid w:val="005636EC"/>
    <w:rsid w:val="00564A6A"/>
    <w:rsid w:val="0057292A"/>
    <w:rsid w:val="00585DE0"/>
    <w:rsid w:val="0058665F"/>
    <w:rsid w:val="005878DD"/>
    <w:rsid w:val="00595BB1"/>
    <w:rsid w:val="005973CB"/>
    <w:rsid w:val="005A7867"/>
    <w:rsid w:val="005C2C32"/>
    <w:rsid w:val="005C356D"/>
    <w:rsid w:val="005C36DB"/>
    <w:rsid w:val="005C55F8"/>
    <w:rsid w:val="005D4840"/>
    <w:rsid w:val="005D6CD6"/>
    <w:rsid w:val="005E04E6"/>
    <w:rsid w:val="005E1564"/>
    <w:rsid w:val="005E2D52"/>
    <w:rsid w:val="005E3B0F"/>
    <w:rsid w:val="005F22CC"/>
    <w:rsid w:val="005F2F56"/>
    <w:rsid w:val="005F3688"/>
    <w:rsid w:val="005F7ED6"/>
    <w:rsid w:val="006105A8"/>
    <w:rsid w:val="0061366E"/>
    <w:rsid w:val="006155A9"/>
    <w:rsid w:val="00617B48"/>
    <w:rsid w:val="00621489"/>
    <w:rsid w:val="00622F1A"/>
    <w:rsid w:val="00633EFA"/>
    <w:rsid w:val="006372C4"/>
    <w:rsid w:val="00643AFB"/>
    <w:rsid w:val="00655AB3"/>
    <w:rsid w:val="006630FC"/>
    <w:rsid w:val="00664E11"/>
    <w:rsid w:val="006664FC"/>
    <w:rsid w:val="00666752"/>
    <w:rsid w:val="0067235E"/>
    <w:rsid w:val="006760DD"/>
    <w:rsid w:val="0069009E"/>
    <w:rsid w:val="006902E1"/>
    <w:rsid w:val="006926CE"/>
    <w:rsid w:val="006A6B96"/>
    <w:rsid w:val="006B4CF1"/>
    <w:rsid w:val="006B77F9"/>
    <w:rsid w:val="006D317A"/>
    <w:rsid w:val="006D5F50"/>
    <w:rsid w:val="006D75DC"/>
    <w:rsid w:val="006E1665"/>
    <w:rsid w:val="006E277E"/>
    <w:rsid w:val="006E546B"/>
    <w:rsid w:val="00701E0A"/>
    <w:rsid w:val="007078A9"/>
    <w:rsid w:val="00714A1A"/>
    <w:rsid w:val="00716279"/>
    <w:rsid w:val="00716FE3"/>
    <w:rsid w:val="00720485"/>
    <w:rsid w:val="0072643A"/>
    <w:rsid w:val="00731F3D"/>
    <w:rsid w:val="00732660"/>
    <w:rsid w:val="007333D0"/>
    <w:rsid w:val="00735FAB"/>
    <w:rsid w:val="00740D37"/>
    <w:rsid w:val="007465E7"/>
    <w:rsid w:val="00752090"/>
    <w:rsid w:val="007526A3"/>
    <w:rsid w:val="0076521F"/>
    <w:rsid w:val="00770A9E"/>
    <w:rsid w:val="00782492"/>
    <w:rsid w:val="00787609"/>
    <w:rsid w:val="007909E4"/>
    <w:rsid w:val="00790ADD"/>
    <w:rsid w:val="00797A21"/>
    <w:rsid w:val="007A412B"/>
    <w:rsid w:val="007A54AA"/>
    <w:rsid w:val="007B70DF"/>
    <w:rsid w:val="007D1830"/>
    <w:rsid w:val="007F3805"/>
    <w:rsid w:val="007F4856"/>
    <w:rsid w:val="007F4F8F"/>
    <w:rsid w:val="00800B23"/>
    <w:rsid w:val="00800BA9"/>
    <w:rsid w:val="00803E17"/>
    <w:rsid w:val="00812139"/>
    <w:rsid w:val="0081704B"/>
    <w:rsid w:val="00817CBF"/>
    <w:rsid w:val="00827BC0"/>
    <w:rsid w:val="00833F66"/>
    <w:rsid w:val="00834C88"/>
    <w:rsid w:val="008412BB"/>
    <w:rsid w:val="0084295C"/>
    <w:rsid w:val="00845286"/>
    <w:rsid w:val="0085216E"/>
    <w:rsid w:val="00852C5A"/>
    <w:rsid w:val="0085517F"/>
    <w:rsid w:val="008554F4"/>
    <w:rsid w:val="00856BC2"/>
    <w:rsid w:val="008606EF"/>
    <w:rsid w:val="00861BEA"/>
    <w:rsid w:val="00867587"/>
    <w:rsid w:val="0087251F"/>
    <w:rsid w:val="0087760D"/>
    <w:rsid w:val="00880262"/>
    <w:rsid w:val="00885D56"/>
    <w:rsid w:val="008A05AB"/>
    <w:rsid w:val="008A1D6C"/>
    <w:rsid w:val="008A2947"/>
    <w:rsid w:val="008A473E"/>
    <w:rsid w:val="008A7D8F"/>
    <w:rsid w:val="008B7800"/>
    <w:rsid w:val="008C1AB5"/>
    <w:rsid w:val="008C1C6C"/>
    <w:rsid w:val="008C3A69"/>
    <w:rsid w:val="008D2379"/>
    <w:rsid w:val="008D38AE"/>
    <w:rsid w:val="008E35DA"/>
    <w:rsid w:val="008F5778"/>
    <w:rsid w:val="0090130A"/>
    <w:rsid w:val="00916683"/>
    <w:rsid w:val="00920C99"/>
    <w:rsid w:val="009215CB"/>
    <w:rsid w:val="00924201"/>
    <w:rsid w:val="009249E5"/>
    <w:rsid w:val="009430C8"/>
    <w:rsid w:val="0095507D"/>
    <w:rsid w:val="00975DCB"/>
    <w:rsid w:val="009834BB"/>
    <w:rsid w:val="009834CA"/>
    <w:rsid w:val="009838B9"/>
    <w:rsid w:val="00991DBF"/>
    <w:rsid w:val="00991FEF"/>
    <w:rsid w:val="00994460"/>
    <w:rsid w:val="009B1B9A"/>
    <w:rsid w:val="009C2CB3"/>
    <w:rsid w:val="009C4B09"/>
    <w:rsid w:val="009D2A5D"/>
    <w:rsid w:val="009D7CF9"/>
    <w:rsid w:val="009E5831"/>
    <w:rsid w:val="009F0EAF"/>
    <w:rsid w:val="009F3065"/>
    <w:rsid w:val="009F5000"/>
    <w:rsid w:val="009F79D4"/>
    <w:rsid w:val="00A04EC5"/>
    <w:rsid w:val="00A05785"/>
    <w:rsid w:val="00A070C1"/>
    <w:rsid w:val="00A07377"/>
    <w:rsid w:val="00A170D6"/>
    <w:rsid w:val="00A17F8F"/>
    <w:rsid w:val="00A24630"/>
    <w:rsid w:val="00A271C3"/>
    <w:rsid w:val="00A36426"/>
    <w:rsid w:val="00A43A99"/>
    <w:rsid w:val="00A45C84"/>
    <w:rsid w:val="00A468BC"/>
    <w:rsid w:val="00A51508"/>
    <w:rsid w:val="00A52C57"/>
    <w:rsid w:val="00A603FD"/>
    <w:rsid w:val="00A604DA"/>
    <w:rsid w:val="00A61133"/>
    <w:rsid w:val="00A646DE"/>
    <w:rsid w:val="00A6571C"/>
    <w:rsid w:val="00A670E4"/>
    <w:rsid w:val="00A81679"/>
    <w:rsid w:val="00A85A7A"/>
    <w:rsid w:val="00A86A0A"/>
    <w:rsid w:val="00A93761"/>
    <w:rsid w:val="00A957B2"/>
    <w:rsid w:val="00A95E27"/>
    <w:rsid w:val="00A97816"/>
    <w:rsid w:val="00AA1C20"/>
    <w:rsid w:val="00AA2137"/>
    <w:rsid w:val="00AC20FE"/>
    <w:rsid w:val="00AE3E7E"/>
    <w:rsid w:val="00AF38DF"/>
    <w:rsid w:val="00AF4BD0"/>
    <w:rsid w:val="00AF55AF"/>
    <w:rsid w:val="00B10185"/>
    <w:rsid w:val="00B249D7"/>
    <w:rsid w:val="00B33663"/>
    <w:rsid w:val="00B3486E"/>
    <w:rsid w:val="00B3655D"/>
    <w:rsid w:val="00B44BDF"/>
    <w:rsid w:val="00B5119A"/>
    <w:rsid w:val="00B51D5D"/>
    <w:rsid w:val="00B52405"/>
    <w:rsid w:val="00B558F2"/>
    <w:rsid w:val="00B651A7"/>
    <w:rsid w:val="00B677CE"/>
    <w:rsid w:val="00B739CB"/>
    <w:rsid w:val="00B92C2C"/>
    <w:rsid w:val="00B938AA"/>
    <w:rsid w:val="00B96A31"/>
    <w:rsid w:val="00BA744E"/>
    <w:rsid w:val="00BC1C02"/>
    <w:rsid w:val="00BD17BA"/>
    <w:rsid w:val="00BE2816"/>
    <w:rsid w:val="00BE66F4"/>
    <w:rsid w:val="00BF180B"/>
    <w:rsid w:val="00BF22E8"/>
    <w:rsid w:val="00BF5FF6"/>
    <w:rsid w:val="00C00903"/>
    <w:rsid w:val="00C02DB5"/>
    <w:rsid w:val="00C04384"/>
    <w:rsid w:val="00C068FF"/>
    <w:rsid w:val="00C13686"/>
    <w:rsid w:val="00C21CBB"/>
    <w:rsid w:val="00C22785"/>
    <w:rsid w:val="00C3077C"/>
    <w:rsid w:val="00C34B10"/>
    <w:rsid w:val="00C35733"/>
    <w:rsid w:val="00C36640"/>
    <w:rsid w:val="00C40769"/>
    <w:rsid w:val="00C41658"/>
    <w:rsid w:val="00C42659"/>
    <w:rsid w:val="00C60196"/>
    <w:rsid w:val="00C625DC"/>
    <w:rsid w:val="00C67CD9"/>
    <w:rsid w:val="00C71C68"/>
    <w:rsid w:val="00C72351"/>
    <w:rsid w:val="00C77E46"/>
    <w:rsid w:val="00C81D14"/>
    <w:rsid w:val="00C91182"/>
    <w:rsid w:val="00C9321E"/>
    <w:rsid w:val="00CA44D4"/>
    <w:rsid w:val="00CA4D99"/>
    <w:rsid w:val="00CB0A75"/>
    <w:rsid w:val="00CB102F"/>
    <w:rsid w:val="00CB38B8"/>
    <w:rsid w:val="00CB43B6"/>
    <w:rsid w:val="00CC634A"/>
    <w:rsid w:val="00CD54A5"/>
    <w:rsid w:val="00CD6BC6"/>
    <w:rsid w:val="00CE0FBA"/>
    <w:rsid w:val="00CE111A"/>
    <w:rsid w:val="00CF1973"/>
    <w:rsid w:val="00D0023D"/>
    <w:rsid w:val="00D02978"/>
    <w:rsid w:val="00D06C85"/>
    <w:rsid w:val="00D13DAA"/>
    <w:rsid w:val="00D14149"/>
    <w:rsid w:val="00D16358"/>
    <w:rsid w:val="00D20EB5"/>
    <w:rsid w:val="00D275D5"/>
    <w:rsid w:val="00D278EE"/>
    <w:rsid w:val="00D322A7"/>
    <w:rsid w:val="00D36131"/>
    <w:rsid w:val="00D5125F"/>
    <w:rsid w:val="00D51ECA"/>
    <w:rsid w:val="00D546FB"/>
    <w:rsid w:val="00D57D82"/>
    <w:rsid w:val="00D705C0"/>
    <w:rsid w:val="00D828D7"/>
    <w:rsid w:val="00D836DD"/>
    <w:rsid w:val="00DA14D8"/>
    <w:rsid w:val="00DA414B"/>
    <w:rsid w:val="00DA5D51"/>
    <w:rsid w:val="00DA65CD"/>
    <w:rsid w:val="00DB1BED"/>
    <w:rsid w:val="00DB279F"/>
    <w:rsid w:val="00DB500C"/>
    <w:rsid w:val="00DC5FD5"/>
    <w:rsid w:val="00DC691A"/>
    <w:rsid w:val="00DC71B9"/>
    <w:rsid w:val="00DD3EC3"/>
    <w:rsid w:val="00DE19F9"/>
    <w:rsid w:val="00E01967"/>
    <w:rsid w:val="00E03241"/>
    <w:rsid w:val="00E04D99"/>
    <w:rsid w:val="00E11418"/>
    <w:rsid w:val="00E16911"/>
    <w:rsid w:val="00E21E3D"/>
    <w:rsid w:val="00E22B86"/>
    <w:rsid w:val="00E267D5"/>
    <w:rsid w:val="00E310BB"/>
    <w:rsid w:val="00E336E4"/>
    <w:rsid w:val="00E628A9"/>
    <w:rsid w:val="00E70D83"/>
    <w:rsid w:val="00E754D9"/>
    <w:rsid w:val="00E75D9B"/>
    <w:rsid w:val="00E83E98"/>
    <w:rsid w:val="00E86E08"/>
    <w:rsid w:val="00E879EA"/>
    <w:rsid w:val="00E94E4C"/>
    <w:rsid w:val="00EA16A8"/>
    <w:rsid w:val="00EB220E"/>
    <w:rsid w:val="00EB76AC"/>
    <w:rsid w:val="00EC1234"/>
    <w:rsid w:val="00EC25E0"/>
    <w:rsid w:val="00EC50F8"/>
    <w:rsid w:val="00ED0426"/>
    <w:rsid w:val="00ED1C3E"/>
    <w:rsid w:val="00ED2CE9"/>
    <w:rsid w:val="00EE0826"/>
    <w:rsid w:val="00EE26C9"/>
    <w:rsid w:val="00EE35CB"/>
    <w:rsid w:val="00EE372F"/>
    <w:rsid w:val="00F03232"/>
    <w:rsid w:val="00F1130D"/>
    <w:rsid w:val="00F12E97"/>
    <w:rsid w:val="00F15D37"/>
    <w:rsid w:val="00F4435B"/>
    <w:rsid w:val="00F45859"/>
    <w:rsid w:val="00F52C79"/>
    <w:rsid w:val="00F563D6"/>
    <w:rsid w:val="00F57A70"/>
    <w:rsid w:val="00F619D1"/>
    <w:rsid w:val="00F62F11"/>
    <w:rsid w:val="00F64C42"/>
    <w:rsid w:val="00F71226"/>
    <w:rsid w:val="00F75B8F"/>
    <w:rsid w:val="00F8615F"/>
    <w:rsid w:val="00F94950"/>
    <w:rsid w:val="00F961C8"/>
    <w:rsid w:val="00FA2084"/>
    <w:rsid w:val="00FA36CD"/>
    <w:rsid w:val="00FB4E1A"/>
    <w:rsid w:val="00FB7270"/>
    <w:rsid w:val="00FC1991"/>
    <w:rsid w:val="00FC7A97"/>
    <w:rsid w:val="00FD64A5"/>
    <w:rsid w:val="00FE44A4"/>
    <w:rsid w:val="00FF1EFE"/>
    <w:rsid w:val="00FF28FA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E03B1-9A06-492B-BE5D-84EB23F4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F1C"/>
  </w:style>
  <w:style w:type="paragraph" w:styleId="1">
    <w:name w:val="heading 1"/>
    <w:basedOn w:val="a"/>
    <w:next w:val="a"/>
    <w:link w:val="10"/>
    <w:uiPriority w:val="99"/>
    <w:qFormat/>
    <w:rsid w:val="005F36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1E0A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827BC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27BC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827BC0"/>
    <w:rPr>
      <w:vertAlign w:val="superscript"/>
    </w:rPr>
  </w:style>
  <w:style w:type="paragraph" w:styleId="a8">
    <w:name w:val="List Paragraph"/>
    <w:basedOn w:val="a"/>
    <w:uiPriority w:val="34"/>
    <w:qFormat/>
    <w:rsid w:val="00C81D14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267D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a">
    <w:name w:val="No Spacing"/>
    <w:uiPriority w:val="1"/>
    <w:qFormat/>
    <w:rsid w:val="00E01967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0A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A5F24"/>
  </w:style>
  <w:style w:type="paragraph" w:styleId="ad">
    <w:name w:val="footer"/>
    <w:basedOn w:val="a"/>
    <w:link w:val="ae"/>
    <w:uiPriority w:val="99"/>
    <w:unhideWhenUsed/>
    <w:rsid w:val="000A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A5F24"/>
  </w:style>
  <w:style w:type="character" w:customStyle="1" w:styleId="10">
    <w:name w:val="Заголовок 1 Знак"/>
    <w:basedOn w:val="a0"/>
    <w:link w:val="1"/>
    <w:uiPriority w:val="99"/>
    <w:rsid w:val="005F3688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9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96521-B44E-48EA-BF47-09B76FD7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Мельничану Лилия Николаевна</cp:lastModifiedBy>
  <cp:revision>2</cp:revision>
  <cp:lastPrinted>2025-01-22T07:42:00Z</cp:lastPrinted>
  <dcterms:created xsi:type="dcterms:W3CDTF">2025-10-17T04:24:00Z</dcterms:created>
  <dcterms:modified xsi:type="dcterms:W3CDTF">2025-10-17T04:24:00Z</dcterms:modified>
</cp:coreProperties>
</file>